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49F" w:rsidTr="002C4459">
        <w:trPr>
          <w:trHeight w:hRule="exact" w:val="851"/>
        </w:trPr>
        <w:tc>
          <w:tcPr>
            <w:tcW w:w="9212" w:type="dxa"/>
            <w:gridSpan w:val="2"/>
          </w:tcPr>
          <w:p w:rsidR="00FC549F" w:rsidRDefault="00A40F43" w:rsidP="009A4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WEG</w:t>
            </w:r>
            <w:r w:rsidR="00D54053">
              <w:rPr>
                <w:rFonts w:ascii="Arial" w:hAnsi="Arial" w:cs="Arial"/>
                <w:sz w:val="24"/>
                <w:szCs w:val="24"/>
              </w:rPr>
              <w:t>-Verwaltung</w:t>
            </w:r>
          </w:p>
        </w:tc>
      </w:tr>
      <w:tr w:rsidR="00871F0A" w:rsidTr="00871F0A">
        <w:trPr>
          <w:trHeight w:hRule="exact" w:val="851"/>
        </w:trPr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9A4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Nr.</w:t>
            </w:r>
            <w:r w:rsidR="00627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F43">
              <w:rPr>
                <w:rFonts w:ascii="Arial" w:hAnsi="Arial" w:cs="Arial"/>
                <w:sz w:val="24"/>
                <w:szCs w:val="24"/>
              </w:rPr>
              <w:t>20</w:t>
            </w:r>
            <w:r w:rsidR="009A441B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  <w:r w:rsidR="00627BEA">
              <w:rPr>
                <w:rFonts w:ascii="Arial" w:hAnsi="Arial" w:cs="Arial"/>
                <w:sz w:val="24"/>
                <w:szCs w:val="24"/>
              </w:rPr>
              <w:t xml:space="preserve"> 21.11.2019</w:t>
            </w:r>
          </w:p>
          <w:p w:rsidR="001C2AF7" w:rsidRDefault="001C2AF7" w:rsidP="00871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F0A" w:rsidTr="00871F0A">
        <w:trPr>
          <w:trHeight w:hRule="exact" w:val="851"/>
        </w:trPr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Verteiler:</w:t>
            </w:r>
          </w:p>
        </w:tc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Unternehmenshandbuch</w:t>
            </w:r>
          </w:p>
        </w:tc>
      </w:tr>
    </w:tbl>
    <w:p w:rsidR="009C3663" w:rsidRDefault="009A441B" w:rsidP="00871F0A">
      <w:pPr>
        <w:spacing w:after="0"/>
        <w:rPr>
          <w:rFonts w:ascii="Arial" w:hAnsi="Arial" w:cs="Arial"/>
          <w:sz w:val="24"/>
          <w:szCs w:val="24"/>
        </w:rPr>
      </w:pPr>
    </w:p>
    <w:p w:rsidR="005D63A4" w:rsidRDefault="005D63A4" w:rsidP="00871F0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17"/>
        <w:gridCol w:w="1207"/>
        <w:gridCol w:w="1179"/>
        <w:gridCol w:w="5944"/>
      </w:tblGrid>
      <w:tr w:rsidR="00894C9C" w:rsidTr="00894C9C">
        <w:tc>
          <w:tcPr>
            <w:tcW w:w="1417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zuständig</w:t>
            </w:r>
          </w:p>
        </w:tc>
        <w:tc>
          <w:tcPr>
            <w:tcW w:w="1207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Periode</w:t>
            </w:r>
          </w:p>
        </w:tc>
        <w:tc>
          <w:tcPr>
            <w:tcW w:w="1179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lfd. Nr.</w:t>
            </w:r>
          </w:p>
        </w:tc>
        <w:tc>
          <w:tcPr>
            <w:tcW w:w="5944" w:type="dxa"/>
          </w:tcPr>
          <w:p w:rsidR="005D63A4" w:rsidRDefault="001F746E" w:rsidP="00627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Aktivität</w:t>
            </w:r>
          </w:p>
        </w:tc>
      </w:tr>
      <w:tr w:rsidR="00894C9C" w:rsidTr="00894C9C">
        <w:tc>
          <w:tcPr>
            <w:tcW w:w="1417" w:type="dxa"/>
          </w:tcPr>
          <w:p w:rsidR="001F746E" w:rsidRPr="00384E1D" w:rsidRDefault="00777401" w:rsidP="0077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07" w:type="dxa"/>
          </w:tcPr>
          <w:p w:rsidR="001F746E" w:rsidRPr="00384E1D" w:rsidRDefault="001F746E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8C13FA" w:rsidRPr="00384E1D" w:rsidRDefault="00627BE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44" w:type="dxa"/>
          </w:tcPr>
          <w:p w:rsidR="00CC0DD3" w:rsidRPr="00CC0DD3" w:rsidRDefault="00D54053" w:rsidP="00D54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8A7894">
              <w:rPr>
                <w:rFonts w:ascii="Arial" w:hAnsi="Arial" w:cs="Arial"/>
                <w:sz w:val="24"/>
                <w:szCs w:val="24"/>
              </w:rPr>
              <w:t xml:space="preserve">edem </w:t>
            </w:r>
            <w:r>
              <w:rPr>
                <w:rFonts w:ascii="Arial" w:hAnsi="Arial" w:cs="Arial"/>
                <w:sz w:val="24"/>
                <w:szCs w:val="24"/>
              </w:rPr>
              <w:t>SB</w:t>
            </w:r>
            <w:r w:rsidRPr="008A7894">
              <w:rPr>
                <w:rFonts w:ascii="Arial" w:hAnsi="Arial" w:cs="Arial"/>
                <w:sz w:val="24"/>
                <w:szCs w:val="24"/>
              </w:rPr>
              <w:t xml:space="preserve"> sind gesondert festgelegte Wohnungseigentümergemeinschaften und Fremdverwaltungen zugeordnet, für die sie verantwortlich sind. </w:t>
            </w:r>
          </w:p>
        </w:tc>
      </w:tr>
      <w:tr w:rsidR="00894C9C" w:rsidTr="00894C9C">
        <w:tc>
          <w:tcPr>
            <w:tcW w:w="1417" w:type="dxa"/>
          </w:tcPr>
          <w:p w:rsidR="001F746E" w:rsidRPr="00384E1D" w:rsidRDefault="00777401" w:rsidP="0032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07" w:type="dxa"/>
          </w:tcPr>
          <w:p w:rsidR="00894C9C" w:rsidRDefault="00894C9C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zum 28.02.</w:t>
            </w:r>
          </w:p>
          <w:p w:rsidR="00894C9C" w:rsidRDefault="00894C9C" w:rsidP="0089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jeden</w:t>
            </w:r>
          </w:p>
          <w:p w:rsidR="001F746E" w:rsidRPr="00384E1D" w:rsidRDefault="00894C9C" w:rsidP="0089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Jahres</w:t>
            </w:r>
          </w:p>
        </w:tc>
        <w:tc>
          <w:tcPr>
            <w:tcW w:w="1179" w:type="dxa"/>
          </w:tcPr>
          <w:p w:rsidR="008C13FA" w:rsidRPr="00384E1D" w:rsidRDefault="00627BE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44" w:type="dxa"/>
          </w:tcPr>
          <w:p w:rsidR="008C13FA" w:rsidRDefault="00894C9C" w:rsidP="00D54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54053" w:rsidRPr="008A7894">
              <w:rPr>
                <w:rFonts w:ascii="Arial" w:hAnsi="Arial" w:cs="Arial"/>
                <w:sz w:val="24"/>
                <w:szCs w:val="24"/>
              </w:rPr>
              <w:t xml:space="preserve">ind die Termine für die Eigentümerversammlungen zu planen. Die vereinbarten Termine werden in der Gesamtliste „WEG-Planung“ (H: WEG) erfasst und sollen dort bis zum 28. Februar j. J. hinterlegt sein. </w:t>
            </w:r>
            <w:r w:rsidR="00AB1F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4C9C" w:rsidTr="00894C9C">
        <w:tc>
          <w:tcPr>
            <w:tcW w:w="1417" w:type="dxa"/>
          </w:tcPr>
          <w:p w:rsidR="008C13FA" w:rsidRDefault="00777401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07" w:type="dxa"/>
          </w:tcPr>
          <w:p w:rsidR="008C13FA" w:rsidRPr="00384E1D" w:rsidRDefault="008C13F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8C13FA" w:rsidRDefault="005474CC" w:rsidP="0054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7B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894C9C" w:rsidRPr="00894C9C" w:rsidRDefault="00894C9C" w:rsidP="00894C9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SB s</w:t>
            </w: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timmen die Eigentümerversammlungen inhaltlich ab. Versammlungsleiter ist jeweils der für die Eigentümergemeinschaft zuständige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SB</w:t>
            </w: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Jeder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SB</w:t>
            </w: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führt für die Versammlungen seiner </w:t>
            </w:r>
            <w:proofErr w:type="spellStart"/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EG’s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das Protokoll und pflegt die darin enthaltenen Beschlüsse in die Beschlusssammlung ein. Der Erledigungsvermerk in der Liste „WEG-Planung“ ist zwingend bis zum </w:t>
            </w:r>
          </w:p>
          <w:p w:rsidR="00627BEA" w:rsidRDefault="00894C9C" w:rsidP="009A441B">
            <w:pPr>
              <w:rPr>
                <w:rFonts w:ascii="Arial" w:hAnsi="Arial" w:cs="Arial"/>
                <w:sz w:val="24"/>
                <w:szCs w:val="24"/>
              </w:rPr>
            </w:pP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spätestens 2. Werktag nach der Versammlung einzutragen.</w:t>
            </w:r>
          </w:p>
        </w:tc>
      </w:tr>
      <w:tr w:rsidR="00894C9C" w:rsidTr="00894C9C">
        <w:tc>
          <w:tcPr>
            <w:tcW w:w="1417" w:type="dxa"/>
          </w:tcPr>
          <w:p w:rsidR="00894C9C" w:rsidRDefault="00894C9C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07" w:type="dxa"/>
          </w:tcPr>
          <w:p w:rsidR="00894C9C" w:rsidRPr="00384E1D" w:rsidRDefault="00894C9C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894C9C" w:rsidRDefault="00894C9C" w:rsidP="0054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44" w:type="dxa"/>
          </w:tcPr>
          <w:p w:rsidR="00894C9C" w:rsidRDefault="00894C9C" w:rsidP="00894C9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Sie SB </w:t>
            </w: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erstellen selbstständig die Abrechnungen und Wirtschaftspläne für die ihnen zugeordneten Eigentümergemeinschaften. Gleichzeitig obliegt den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SB</w:t>
            </w: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Rechnungsprüfung für die eigenen </w:t>
            </w:r>
            <w:proofErr w:type="spellStart"/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Objekte.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Weiteren ist die Ablage und damit verbunden die Vollständigkeitskontrolle des Belegwesens aller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WEG’s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vorzunehmen.</w:t>
            </w:r>
            <w:r w:rsidRPr="00894C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94C9C" w:rsidTr="00894C9C">
        <w:tc>
          <w:tcPr>
            <w:tcW w:w="1417" w:type="dxa"/>
          </w:tcPr>
          <w:p w:rsidR="00894C9C" w:rsidRDefault="00894C9C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07" w:type="dxa"/>
          </w:tcPr>
          <w:p w:rsidR="00894C9C" w:rsidRPr="00384E1D" w:rsidRDefault="00894C9C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894C9C" w:rsidRDefault="00894C9C" w:rsidP="0054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44" w:type="dxa"/>
          </w:tcPr>
          <w:p w:rsidR="00894C9C" w:rsidRDefault="00894C9C" w:rsidP="00894C9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SB </w:t>
            </w:r>
            <w:r w:rsidRPr="008A7894">
              <w:rPr>
                <w:rFonts w:ascii="Arial" w:hAnsi="Arial" w:cs="Arial"/>
                <w:sz w:val="24"/>
                <w:szCs w:val="24"/>
              </w:rPr>
              <w:t xml:space="preserve">unterschreiben den Schriftverkehr </w:t>
            </w:r>
            <w:r>
              <w:rPr>
                <w:rFonts w:ascii="Arial" w:hAnsi="Arial" w:cs="Arial"/>
                <w:sz w:val="24"/>
                <w:szCs w:val="24"/>
              </w:rPr>
              <w:t xml:space="preserve">für die </w:t>
            </w:r>
            <w:r>
              <w:rPr>
                <w:rFonts w:ascii="Arial" w:hAnsi="Arial" w:cs="Arial"/>
                <w:sz w:val="24"/>
                <w:szCs w:val="24"/>
              </w:rPr>
              <w:t xml:space="preserve">eigenen Objekte </w:t>
            </w:r>
            <w:r w:rsidRPr="008A7894">
              <w:rPr>
                <w:rFonts w:ascii="Arial" w:hAnsi="Arial" w:cs="Arial"/>
                <w:sz w:val="24"/>
                <w:szCs w:val="24"/>
              </w:rPr>
              <w:t xml:space="preserve">gemäß den geltenden Unterschriftsregelungen. </w:t>
            </w:r>
          </w:p>
        </w:tc>
      </w:tr>
      <w:tr w:rsidR="00894C9C" w:rsidTr="00894C9C">
        <w:tc>
          <w:tcPr>
            <w:tcW w:w="1417" w:type="dxa"/>
          </w:tcPr>
          <w:p w:rsidR="00894C9C" w:rsidRDefault="00894C9C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07" w:type="dxa"/>
          </w:tcPr>
          <w:p w:rsidR="00894C9C" w:rsidRPr="00384E1D" w:rsidRDefault="00894C9C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894C9C" w:rsidRDefault="00894C9C" w:rsidP="0054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44" w:type="dxa"/>
          </w:tcPr>
          <w:p w:rsidR="00894C9C" w:rsidRDefault="00894C9C" w:rsidP="009A441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SB </w:t>
            </w:r>
            <w:r w:rsidRPr="008A7894">
              <w:rPr>
                <w:rFonts w:ascii="Arial" w:hAnsi="Arial" w:cs="Arial"/>
                <w:sz w:val="24"/>
                <w:szCs w:val="24"/>
              </w:rPr>
              <w:t>sorg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8A7894">
              <w:rPr>
                <w:rFonts w:ascii="Arial" w:hAnsi="Arial" w:cs="Arial"/>
                <w:sz w:val="24"/>
                <w:szCs w:val="24"/>
              </w:rPr>
              <w:t xml:space="preserve"> für die Einhaltung der in der „WEG-Planung“ festgesetzten Termine. Falls diese Termine nicht eingehalten werden können, </w:t>
            </w:r>
            <w:r w:rsidR="009A441B">
              <w:rPr>
                <w:rFonts w:ascii="Arial" w:hAnsi="Arial" w:cs="Arial"/>
                <w:sz w:val="24"/>
                <w:szCs w:val="24"/>
              </w:rPr>
              <w:t xml:space="preserve">erfolgt rechtzeitig eine Info mit Angabe der Gründe über die Verschiebung an die Geschäftsführung. </w:t>
            </w:r>
            <w:r w:rsidRPr="008A7894">
              <w:rPr>
                <w:rFonts w:ascii="Arial" w:hAnsi="Arial" w:cs="Arial"/>
                <w:sz w:val="24"/>
                <w:szCs w:val="24"/>
              </w:rPr>
              <w:t xml:space="preserve">für die Terminverschiebung. </w:t>
            </w:r>
            <w:r w:rsidR="009A441B">
              <w:rPr>
                <w:rFonts w:ascii="Arial" w:hAnsi="Arial" w:cs="Arial"/>
                <w:sz w:val="24"/>
                <w:szCs w:val="24"/>
              </w:rPr>
              <w:t>Die SB kontrollieren außerdem die Vollständigkeit und Aktualität der Beschlusssammlung.</w:t>
            </w:r>
          </w:p>
        </w:tc>
      </w:tr>
      <w:tr w:rsidR="009A441B" w:rsidTr="00894C9C">
        <w:tc>
          <w:tcPr>
            <w:tcW w:w="1417" w:type="dxa"/>
          </w:tcPr>
          <w:p w:rsidR="009A441B" w:rsidRDefault="009A441B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207" w:type="dxa"/>
          </w:tcPr>
          <w:p w:rsidR="009A441B" w:rsidRPr="00384E1D" w:rsidRDefault="009A441B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9A441B" w:rsidRDefault="009A441B" w:rsidP="0054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9A441B" w:rsidRDefault="009A441B" w:rsidP="009A4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Erteilt aufgrund der Vollmacht für alle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Verwalterzustimmung bei Wohnungsverkäufen. </w:t>
            </w:r>
          </w:p>
        </w:tc>
      </w:tr>
    </w:tbl>
    <w:p w:rsidR="005D63A4" w:rsidRDefault="005D63A4" w:rsidP="00871F0A">
      <w:pPr>
        <w:spacing w:after="0"/>
        <w:rPr>
          <w:rFonts w:ascii="Arial" w:hAnsi="Arial" w:cs="Arial"/>
          <w:sz w:val="24"/>
          <w:szCs w:val="24"/>
        </w:rPr>
      </w:pPr>
    </w:p>
    <w:sectPr w:rsidR="005D63A4" w:rsidSect="009A44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0A"/>
    <w:rsid w:val="001A6396"/>
    <w:rsid w:val="001C2AF7"/>
    <w:rsid w:val="001F746E"/>
    <w:rsid w:val="00320B50"/>
    <w:rsid w:val="003525D6"/>
    <w:rsid w:val="00384E1D"/>
    <w:rsid w:val="004A67DD"/>
    <w:rsid w:val="00511267"/>
    <w:rsid w:val="00536EBC"/>
    <w:rsid w:val="005474CC"/>
    <w:rsid w:val="005518EA"/>
    <w:rsid w:val="005D63A4"/>
    <w:rsid w:val="00627BEA"/>
    <w:rsid w:val="006863CC"/>
    <w:rsid w:val="00777401"/>
    <w:rsid w:val="00781709"/>
    <w:rsid w:val="007F1AA4"/>
    <w:rsid w:val="00871F0A"/>
    <w:rsid w:val="00894C9C"/>
    <w:rsid w:val="008C13FA"/>
    <w:rsid w:val="008C3770"/>
    <w:rsid w:val="009A441B"/>
    <w:rsid w:val="00A40F43"/>
    <w:rsid w:val="00AB1F08"/>
    <w:rsid w:val="00CA3EC1"/>
    <w:rsid w:val="00CC0DD3"/>
    <w:rsid w:val="00D301C1"/>
    <w:rsid w:val="00D54053"/>
    <w:rsid w:val="00EE3D06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Mohns Ingrid</dc:creator>
  <cp:lastModifiedBy>Kathrin Tietz</cp:lastModifiedBy>
  <cp:revision>2</cp:revision>
  <dcterms:created xsi:type="dcterms:W3CDTF">2019-11-21T12:56:00Z</dcterms:created>
  <dcterms:modified xsi:type="dcterms:W3CDTF">2019-11-21T12:56:00Z</dcterms:modified>
</cp:coreProperties>
</file>