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549F" w:rsidTr="002C4459">
        <w:trPr>
          <w:trHeight w:hRule="exact" w:val="851"/>
        </w:trPr>
        <w:tc>
          <w:tcPr>
            <w:tcW w:w="9212" w:type="dxa"/>
            <w:gridSpan w:val="2"/>
          </w:tcPr>
          <w:p w:rsidR="00FC549F" w:rsidRDefault="00FC549F" w:rsidP="00FC5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7401" w:rsidRDefault="0033700A" w:rsidP="00FC5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WEG Beschluss-Sammlung</w:t>
            </w:r>
          </w:p>
          <w:p w:rsidR="00FC549F" w:rsidRDefault="00FC549F" w:rsidP="00FC5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F0A" w:rsidTr="00871F0A">
        <w:trPr>
          <w:trHeight w:hRule="exact" w:val="851"/>
        </w:trPr>
        <w:tc>
          <w:tcPr>
            <w:tcW w:w="4606" w:type="dxa"/>
          </w:tcPr>
          <w:p w:rsidR="00871F0A" w:rsidRDefault="00871F0A" w:rsidP="00871F0A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49F" w:rsidRDefault="00FC549F" w:rsidP="00337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Routine Nr.</w:t>
            </w:r>
            <w:r w:rsidR="00627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330E">
              <w:rPr>
                <w:rFonts w:ascii="Arial" w:hAnsi="Arial" w:cs="Arial"/>
                <w:sz w:val="24"/>
                <w:szCs w:val="24"/>
              </w:rPr>
              <w:t>20</w:t>
            </w:r>
            <w:r w:rsidR="003370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871F0A" w:rsidRDefault="00871F0A" w:rsidP="00871F0A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49F" w:rsidRDefault="00FC549F" w:rsidP="00871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Datum:</w:t>
            </w:r>
            <w:r w:rsidR="00627BEA">
              <w:rPr>
                <w:rFonts w:ascii="Arial" w:hAnsi="Arial" w:cs="Arial"/>
                <w:sz w:val="24"/>
                <w:szCs w:val="24"/>
              </w:rPr>
              <w:t xml:space="preserve"> 21.11.2019</w:t>
            </w:r>
          </w:p>
          <w:p w:rsidR="001C2AF7" w:rsidRDefault="001C2AF7" w:rsidP="00871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F0A" w:rsidTr="00871F0A">
        <w:trPr>
          <w:trHeight w:hRule="exact" w:val="851"/>
        </w:trPr>
        <w:tc>
          <w:tcPr>
            <w:tcW w:w="4606" w:type="dxa"/>
          </w:tcPr>
          <w:p w:rsidR="00871F0A" w:rsidRDefault="00871F0A" w:rsidP="00871F0A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49F" w:rsidRDefault="00FC549F" w:rsidP="00871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Verteiler:</w:t>
            </w:r>
          </w:p>
        </w:tc>
        <w:tc>
          <w:tcPr>
            <w:tcW w:w="4606" w:type="dxa"/>
          </w:tcPr>
          <w:p w:rsidR="00871F0A" w:rsidRDefault="00871F0A" w:rsidP="00871F0A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49F" w:rsidRDefault="00FC549F" w:rsidP="00871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 Unternehmenshandbuch</w:t>
            </w:r>
          </w:p>
        </w:tc>
      </w:tr>
    </w:tbl>
    <w:p w:rsidR="009C3663" w:rsidRDefault="00AD4BCA" w:rsidP="00871F0A">
      <w:pPr>
        <w:spacing w:after="0"/>
        <w:rPr>
          <w:rFonts w:ascii="Arial" w:hAnsi="Arial" w:cs="Arial"/>
          <w:sz w:val="24"/>
          <w:szCs w:val="24"/>
        </w:rPr>
      </w:pPr>
    </w:p>
    <w:p w:rsidR="005D63A4" w:rsidRDefault="005D63A4" w:rsidP="00871F0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7"/>
        <w:gridCol w:w="1211"/>
        <w:gridCol w:w="1193"/>
        <w:gridCol w:w="5467"/>
      </w:tblGrid>
      <w:tr w:rsidR="00777401" w:rsidTr="00CA3EC1">
        <w:tc>
          <w:tcPr>
            <w:tcW w:w="1244" w:type="dxa"/>
            <w:vAlign w:val="center"/>
          </w:tcPr>
          <w:p w:rsidR="005D63A4" w:rsidRPr="00627BEA" w:rsidRDefault="001F746E" w:rsidP="00CA3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EA">
              <w:rPr>
                <w:rFonts w:ascii="Arial" w:hAnsi="Arial" w:cs="Arial"/>
                <w:sz w:val="24"/>
                <w:szCs w:val="24"/>
              </w:rPr>
              <w:t>zuständig</w:t>
            </w:r>
          </w:p>
        </w:tc>
        <w:tc>
          <w:tcPr>
            <w:tcW w:w="1217" w:type="dxa"/>
            <w:vAlign w:val="center"/>
          </w:tcPr>
          <w:p w:rsidR="005D63A4" w:rsidRPr="00627BEA" w:rsidRDefault="001F746E" w:rsidP="00CA3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EA">
              <w:rPr>
                <w:rFonts w:ascii="Arial" w:hAnsi="Arial" w:cs="Arial"/>
                <w:sz w:val="24"/>
                <w:szCs w:val="24"/>
              </w:rPr>
              <w:t>Periode</w:t>
            </w:r>
          </w:p>
        </w:tc>
        <w:tc>
          <w:tcPr>
            <w:tcW w:w="1218" w:type="dxa"/>
            <w:vAlign w:val="center"/>
          </w:tcPr>
          <w:p w:rsidR="005D63A4" w:rsidRPr="00627BEA" w:rsidRDefault="001F746E" w:rsidP="00CA3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EA">
              <w:rPr>
                <w:rFonts w:ascii="Arial" w:hAnsi="Arial" w:cs="Arial"/>
                <w:sz w:val="24"/>
                <w:szCs w:val="24"/>
              </w:rPr>
              <w:t>lfd. Nr.</w:t>
            </w:r>
          </w:p>
        </w:tc>
        <w:tc>
          <w:tcPr>
            <w:tcW w:w="5560" w:type="dxa"/>
          </w:tcPr>
          <w:p w:rsidR="005D63A4" w:rsidRDefault="001F746E" w:rsidP="00627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Aktivität</w:t>
            </w:r>
          </w:p>
        </w:tc>
      </w:tr>
      <w:tr w:rsidR="00777401" w:rsidTr="001F746E">
        <w:tc>
          <w:tcPr>
            <w:tcW w:w="1244" w:type="dxa"/>
          </w:tcPr>
          <w:p w:rsidR="001F746E" w:rsidRPr="00384E1D" w:rsidRDefault="00777401" w:rsidP="00777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 WEG-Verwaltung</w:t>
            </w:r>
          </w:p>
        </w:tc>
        <w:tc>
          <w:tcPr>
            <w:tcW w:w="1217" w:type="dxa"/>
          </w:tcPr>
          <w:p w:rsidR="001F746E" w:rsidRPr="00384E1D" w:rsidRDefault="001F746E" w:rsidP="001F7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8C13FA" w:rsidRPr="00384E1D" w:rsidRDefault="00627BEA" w:rsidP="001F7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60" w:type="dxa"/>
          </w:tcPr>
          <w:p w:rsidR="00CC0DD3" w:rsidRPr="00CC0DD3" w:rsidRDefault="0033700A" w:rsidP="00AD4BCA">
            <w:pPr>
              <w:rPr>
                <w:rFonts w:ascii="Arial" w:hAnsi="Arial" w:cs="Arial"/>
                <w:sz w:val="24"/>
                <w:szCs w:val="24"/>
              </w:rPr>
            </w:pPr>
            <w:r w:rsidRPr="0033700A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r w:rsidRPr="0033700A">
              <w:rPr>
                <w:rFonts w:ascii="Arial" w:hAnsi="Arial" w:cs="Arial"/>
                <w:sz w:val="24"/>
                <w:szCs w:val="24"/>
              </w:rPr>
              <w:t xml:space="preserve"> SB </w:t>
            </w:r>
            <w:r w:rsidRPr="0033700A">
              <w:rPr>
                <w:rFonts w:ascii="Arial" w:hAnsi="Arial" w:cs="Arial"/>
                <w:sz w:val="24"/>
                <w:szCs w:val="24"/>
              </w:rPr>
              <w:t>veranlass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r w:rsidRPr="0033700A">
              <w:rPr>
                <w:rFonts w:ascii="Arial" w:hAnsi="Arial" w:cs="Arial"/>
                <w:sz w:val="24"/>
                <w:szCs w:val="24"/>
              </w:rPr>
              <w:t xml:space="preserve"> unverzüglich, d. h. in der Regel am nächsten Werktag nach Verkündung der Beschlüsse in der Eigentümerversammlung die Eintragung in die </w:t>
            </w:r>
            <w:bookmarkStart w:id="0" w:name="_GoBack"/>
            <w:bookmarkEnd w:id="0"/>
            <w:r w:rsidRPr="0033700A">
              <w:rPr>
                <w:rFonts w:ascii="Arial" w:hAnsi="Arial" w:cs="Arial"/>
                <w:sz w:val="24"/>
                <w:szCs w:val="24"/>
              </w:rPr>
              <w:t>im Verzeichnis WEG hinterlegte Beschluss-Sammlung.</w:t>
            </w:r>
          </w:p>
        </w:tc>
      </w:tr>
      <w:tr w:rsidR="00777401" w:rsidTr="001F746E">
        <w:tc>
          <w:tcPr>
            <w:tcW w:w="1244" w:type="dxa"/>
          </w:tcPr>
          <w:p w:rsidR="001F746E" w:rsidRPr="00384E1D" w:rsidRDefault="00777401" w:rsidP="00320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 WEG-Verwaltung</w:t>
            </w:r>
          </w:p>
        </w:tc>
        <w:tc>
          <w:tcPr>
            <w:tcW w:w="1217" w:type="dxa"/>
          </w:tcPr>
          <w:p w:rsidR="001F746E" w:rsidRPr="00384E1D" w:rsidRDefault="001F746E" w:rsidP="001F7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8C13FA" w:rsidRPr="00384E1D" w:rsidRDefault="00627BEA" w:rsidP="001F7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60" w:type="dxa"/>
          </w:tcPr>
          <w:p w:rsidR="008C13FA" w:rsidRDefault="0033700A" w:rsidP="0033700A">
            <w:pPr>
              <w:rPr>
                <w:rFonts w:ascii="Arial" w:hAnsi="Arial" w:cs="Arial"/>
                <w:sz w:val="24"/>
                <w:szCs w:val="24"/>
              </w:rPr>
            </w:pPr>
            <w:r w:rsidRPr="0033700A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r w:rsidRPr="0033700A">
              <w:rPr>
                <w:rFonts w:ascii="Arial" w:hAnsi="Arial" w:cs="Arial"/>
                <w:sz w:val="24"/>
                <w:szCs w:val="24"/>
              </w:rPr>
              <w:t xml:space="preserve"> SB </w:t>
            </w:r>
            <w:r w:rsidRPr="0033700A">
              <w:rPr>
                <w:rFonts w:ascii="Arial" w:hAnsi="Arial" w:cs="Arial"/>
                <w:sz w:val="24"/>
                <w:szCs w:val="24"/>
              </w:rPr>
              <w:t>erfass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r w:rsidRPr="0033700A">
              <w:rPr>
                <w:rFonts w:ascii="Arial" w:hAnsi="Arial" w:cs="Arial"/>
                <w:sz w:val="24"/>
                <w:szCs w:val="24"/>
              </w:rPr>
              <w:t xml:space="preserve"> die Beschlüsse in fortlaufender Nummerierung unter Benennung des Versammlungsdatums, des Versammlungsortes, des betreffenden Punktes in der Tagesordnung und des Abstimmungsergebnisses. Das Eintragungsdatum und der Name des Eintragenden sind zu vermerken.</w:t>
            </w:r>
          </w:p>
        </w:tc>
      </w:tr>
      <w:tr w:rsidR="00777401" w:rsidTr="001F746E">
        <w:tc>
          <w:tcPr>
            <w:tcW w:w="1244" w:type="dxa"/>
          </w:tcPr>
          <w:p w:rsidR="008C13FA" w:rsidRDefault="00777401" w:rsidP="001F7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 WEG-Verwaltung</w:t>
            </w:r>
          </w:p>
        </w:tc>
        <w:tc>
          <w:tcPr>
            <w:tcW w:w="1217" w:type="dxa"/>
          </w:tcPr>
          <w:p w:rsidR="008C13FA" w:rsidRPr="00384E1D" w:rsidRDefault="008C13FA" w:rsidP="001F7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8C13FA" w:rsidRDefault="005474CC" w:rsidP="0054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27BE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60" w:type="dxa"/>
          </w:tcPr>
          <w:p w:rsidR="00627BEA" w:rsidRDefault="0033700A" w:rsidP="00337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SB haben</w:t>
            </w:r>
            <w:r w:rsidRPr="0033700A">
              <w:rPr>
                <w:rFonts w:ascii="Arial" w:hAnsi="Arial" w:cs="Arial"/>
                <w:sz w:val="24"/>
                <w:szCs w:val="24"/>
              </w:rPr>
              <w:t xml:space="preserve"> Beschlussanfechtungen und Beschlussaufhebungen anzumerken. Im Fall einer Aufhebung dieser Anfechtung kann von einer Anmerkung abgesehen und die Eintragung gelöscht werden.</w:t>
            </w:r>
          </w:p>
        </w:tc>
      </w:tr>
    </w:tbl>
    <w:p w:rsidR="005D63A4" w:rsidRDefault="005D63A4" w:rsidP="00871F0A">
      <w:pPr>
        <w:spacing w:after="0"/>
        <w:rPr>
          <w:rFonts w:ascii="Arial" w:hAnsi="Arial" w:cs="Arial"/>
          <w:sz w:val="24"/>
          <w:szCs w:val="24"/>
        </w:rPr>
      </w:pPr>
    </w:p>
    <w:sectPr w:rsidR="005D63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0A"/>
    <w:rsid w:val="001A6396"/>
    <w:rsid w:val="001C2AF7"/>
    <w:rsid w:val="001F746E"/>
    <w:rsid w:val="00320B50"/>
    <w:rsid w:val="0033700A"/>
    <w:rsid w:val="003525D6"/>
    <w:rsid w:val="00384E1D"/>
    <w:rsid w:val="004A67DD"/>
    <w:rsid w:val="00511267"/>
    <w:rsid w:val="00536EBC"/>
    <w:rsid w:val="005474CC"/>
    <w:rsid w:val="005518EA"/>
    <w:rsid w:val="005D63A4"/>
    <w:rsid w:val="00627BEA"/>
    <w:rsid w:val="0063330E"/>
    <w:rsid w:val="006863CC"/>
    <w:rsid w:val="00777401"/>
    <w:rsid w:val="00781709"/>
    <w:rsid w:val="007F1AA4"/>
    <w:rsid w:val="00871F0A"/>
    <w:rsid w:val="008C13FA"/>
    <w:rsid w:val="008C3770"/>
    <w:rsid w:val="00AB1F08"/>
    <w:rsid w:val="00AD4BCA"/>
    <w:rsid w:val="00CA3EC1"/>
    <w:rsid w:val="00CC0DD3"/>
    <w:rsid w:val="00D301C1"/>
    <w:rsid w:val="00DB73F9"/>
    <w:rsid w:val="00EE3D06"/>
    <w:rsid w:val="00FC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1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1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Mohns Ingrid</dc:creator>
  <cp:lastModifiedBy>Kathrin Tietz</cp:lastModifiedBy>
  <cp:revision>4</cp:revision>
  <dcterms:created xsi:type="dcterms:W3CDTF">2019-11-21T13:00:00Z</dcterms:created>
  <dcterms:modified xsi:type="dcterms:W3CDTF">2019-11-21T13:01:00Z</dcterms:modified>
</cp:coreProperties>
</file>